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642089" w:rsidRPr="0051066D" w:rsidP="0051066D">
      <w:pPr>
        <w:spacing w:before="240" w:after="400" w:line="240" w:lineRule="auto"/>
        <w:ind w:right="420"/>
        <w:rPr>
          <w:b/>
          <w:sz w:val="48"/>
          <w:szCs w:val="48"/>
        </w:rPr>
      </w:pPr>
      <w:r w:rsidRPr="0051066D">
        <w:rPr>
          <w:b/>
          <w:noProof/>
          <w:sz w:val="48"/>
          <w:szCs w:val="48"/>
        </w:rPr>
        <w:t>2022</w:t>
      </w:r>
      <w:r w:rsidRPr="0051066D" w:rsidR="0009470D">
        <w:rPr>
          <w:b/>
          <w:sz w:val="48"/>
          <w:szCs w:val="48"/>
        </w:rPr>
        <w:t xml:space="preserve"> Annual Report to</w:t>
      </w:r>
      <w:r w:rsidRPr="0051066D">
        <w:rPr>
          <w:b/>
          <w:sz w:val="48"/>
          <w:szCs w:val="48"/>
        </w:rPr>
        <w:t xml:space="preserve"> t</w:t>
      </w:r>
      <w:r w:rsidRPr="0051066D" w:rsidR="0009470D">
        <w:rPr>
          <w:b/>
          <w:sz w:val="48"/>
          <w:szCs w:val="48"/>
        </w:rPr>
        <w:t>he</w:t>
      </w:r>
      <w:r w:rsidR="0051066D">
        <w:rPr>
          <w:b/>
          <w:sz w:val="48"/>
          <w:szCs w:val="48"/>
        </w:rPr>
        <w:t xml:space="preserve"> </w:t>
      </w:r>
      <w:r w:rsidRPr="0051066D" w:rsidR="0009470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29"/>
      </w:tblGrid>
      <w:tr w:rsidTr="00B255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6"/>
        </w:trPr>
        <w:tc>
          <w:tcPr>
            <w:tcW w:w="3178" w:type="dxa"/>
          </w:tcPr>
          <w:p w:rsidR="00642089" w:rsidRPr="00BE480F" w:rsidP="00B25523">
            <w:pPr>
              <w:ind w:left="-509" w:right="419"/>
              <w:jc w:val="center"/>
              <w:rPr>
                <w:color w:val="595959" w:themeColor="text1" w:themeTint="A6"/>
              </w:rPr>
            </w:pPr>
            <w:r>
              <w:rPr>
                <w:noProof/>
                <w:color w:val="595959" w:themeColor="text1" w:themeTint="A6"/>
              </w:rPr>
              <w:drawing>
                <wp:anchor simplePos="0" relativeHeight="251658240" behindDoc="1" locked="0" layoutInCell="1" allowOverlap="1">
                  <wp:simplePos x="0" y="0"/>
                  <wp:positionH relativeFrom="page">
                    <wp:align>center</wp:align>
                  </wp:positionH>
                  <wp:positionV relativeFrom="paragraph">
                    <wp:posOffset>0</wp:posOffset>
                  </wp:positionV>
                  <wp:extent cx="1428949" cy="514422"/>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1428949" cy="514422"/>
                          </a:xfrm>
                          <a:prstGeom prst="rect">
                            <a:avLst/>
                          </a:prstGeom>
                        </pic:spPr>
                      </pic:pic>
                    </a:graphicData>
                  </a:graphic>
                </wp:anchor>
              </w:drawing>
            </w:r>
          </w:p>
        </w:tc>
        <w:tc>
          <w:tcPr>
            <w:tcW w:w="6229" w:type="dxa"/>
          </w:tcPr>
          <w:p w:rsidR="00642089"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00000" cy="350640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03 March 2023 at 10:24 AM by Michael Uzunovski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03 April 2023 at 03:53 PM by Jason Burke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6.09pt;margin-left:-164.9pt;margin-top:180.53pt;mso-height-percent:0;mso-height-relative:margin;mso-position-horizontal-relative:margin;mso-width-percent:0;mso-width-relative:margin;mso-wrap-distance-bottom:0;mso-wrap-distance-left:9pt;mso-wrap-distance-right:9pt;mso-wrap-distance-top:0;position:absolute;width:566.93pt;z-index:251659264" filled="f" fillcolor="this" stroked="f">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03 March 2023 at 10:24 AM by Michael Uzunovski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03 April 2023 at 03:53 PM by Jason Burke (School Council President)</w:t>
                                  </w:r>
                                </w:p>
                              </w:tc>
                            </w:tr>
                          </w:tbl>
                          <w:p w:rsidR="00A66941" w:rsidP="00177D7F"/>
                        </w:txbxContent>
                      </v:textbox>
                      <w10:wrap anchorx="margin"/>
                    </v:shape>
                  </w:pict>
                </mc:Fallback>
              </mc:AlternateContent>
            </w:r>
          </w:p>
        </w:tc>
      </w:tr>
    </w:tbl>
    <w:p w:rsidR="00B076DB" w:rsidRPr="0051066D" w:rsidP="00A66941">
      <w:pPr>
        <w:ind w:right="419"/>
        <w:rPr>
          <w:bCs/>
          <w:sz w:val="36"/>
          <w:szCs w:val="36"/>
        </w:rPr>
      </w:pPr>
      <w:r w:rsidRPr="0051066D">
        <w:rPr>
          <w:bCs/>
          <w:noProof/>
          <w:sz w:val="36"/>
          <w:szCs w:val="36"/>
        </w:rPr>
        <w:t>School</w:t>
      </w:r>
      <w:r w:rsidRPr="0051066D" w:rsidR="00BE480F">
        <w:rPr>
          <w:bCs/>
          <w:noProof/>
          <w:sz w:val="36"/>
          <w:szCs w:val="36"/>
        </w:rPr>
        <w:t xml:space="preserve"> </w:t>
      </w:r>
      <w:r w:rsidRPr="0051066D">
        <w:rPr>
          <w:bCs/>
          <w:noProof/>
          <w:sz w:val="36"/>
          <w:szCs w:val="36"/>
        </w:rPr>
        <w:t xml:space="preserve">Name: </w:t>
      </w:r>
      <w:r w:rsidRPr="0051066D" w:rsidR="00F72887">
        <w:rPr>
          <w:bCs/>
          <w:noProof/>
          <w:sz w:val="36"/>
          <w:szCs w:val="36"/>
        </w:rPr>
        <w:t>Albanvale Primary School (5179)</w:t>
      </w:r>
    </w:p>
    <w:p w:rsidR="00B25523" w:rsidRPr="00642089" w:rsidP="00A66941">
      <w:pPr>
        <w:ind w:right="419"/>
        <w:rPr>
          <w:color w:val="FFFFFF" w:themeColor="background1"/>
          <w:sz w:val="36"/>
          <w:szCs w:val="36"/>
        </w:rPr>
      </w:pPr>
    </w:p>
    <w:p w:rsidR="00BE480F" w:rsidP="00AF1438">
      <w:pPr>
        <w:ind w:left="540" w:right="419"/>
        <w:rPr>
          <w:color w:val="595959" w:themeColor="text1" w:themeTint="A6"/>
        </w:rPr>
      </w:pPr>
    </w:p>
    <w:p w:rsidR="00481904" w:rsidP="00BF76C7">
      <w:pPr>
        <w:pStyle w:val="ESHeading2"/>
        <w:jc w:val="center"/>
        <w:sectPr w:rsidSect="0095453E">
          <w:headerReference w:type="even" r:id="rId10"/>
          <w:headerReference w:type="default" r:id="rId11"/>
          <w:footerReference w:type="even" r:id="rId12"/>
          <w:footerReference w:type="default" r:id="rId13"/>
          <w:headerReference w:type="first" r:id="rId14"/>
          <w:pgSz w:w="11906" w:h="16838" w:code="9"/>
          <w:pgMar w:top="2914" w:right="1134" w:bottom="1701" w:left="425" w:header="227" w:footer="709"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0D1CDD" w:rsidRPr="007B3E14"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rsidR="000D1CDD" w:rsidRPr="007B3E14"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rsidR="000D1CD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Learning</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6A2495" w:rsidP="006A2495">
      <w:pPr>
        <w:spacing w:line="240" w:lineRule="auto"/>
        <w:ind w:left="720"/>
        <w:rPr>
          <w:rFonts w:eastAsia="Arial" w:cs="Times New Roman"/>
          <w:b/>
          <w:color w:val="000000"/>
          <w:szCs w:val="20"/>
        </w:rPr>
      </w:pPr>
      <w:r>
        <w:rPr>
          <w:rFonts w:eastAsia="Arial" w:cs="Times New Roman"/>
          <w:b/>
          <w:color w:val="000000"/>
          <w:szCs w:val="20"/>
        </w:rPr>
        <w:t>Wellbeing</w:t>
      </w:r>
    </w:p>
    <w:p w:rsidR="006A2495"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6A2495"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6A2495" w:rsidRPr="006A2495"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RPr="00FE45D1"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rsidR="00C3126C" w:rsidRPr="00C3126C" w:rsidP="00C3126C">
      <w:pPr>
        <w:pStyle w:val="ESBodyText0"/>
        <w:spacing w:after="200" w:line="240" w:lineRule="auto"/>
      </w:pPr>
      <w:r w:rsidRPr="00C3126C">
        <w:t xml:space="preserve">Results are displayed for the latest year and the average of the last four years (where available). </w:t>
      </w:r>
    </w:p>
    <w:p w:rsidR="00C3126C" w:rsidRPr="00C3126C" w:rsidP="00C3126C">
      <w:pPr>
        <w:pStyle w:val="ESBodyText0"/>
        <w:spacing w:after="200" w:line="240" w:lineRule="auto"/>
      </w:pPr>
      <w:r w:rsidRPr="00C3126C">
        <w:t>As NAPLAN tests were not conducted in 2020:</w:t>
      </w:r>
    </w:p>
    <w:p w:rsidR="00C3126C" w:rsidRPr="00C3126C" w:rsidP="00C3126C">
      <w:pPr>
        <w:pStyle w:val="ESBodyText0"/>
        <w:numPr>
          <w:ilvl w:val="0"/>
          <w:numId w:val="30"/>
        </w:numPr>
        <w:spacing w:after="200" w:line="240" w:lineRule="auto"/>
      </w:pPr>
      <w:r w:rsidRPr="00C3126C">
        <w:t>the NAPLAN 4-year average displayed is the average of 2019, 2021, and 2022 results</w:t>
      </w:r>
    </w:p>
    <w:p w:rsidR="00C3126C" w:rsidRPr="00C3126C" w:rsidP="00C3126C">
      <w:pPr>
        <w:pStyle w:val="ESBodyText0"/>
        <w:numPr>
          <w:ilvl w:val="0"/>
          <w:numId w:val="30"/>
        </w:numPr>
        <w:spacing w:after="200" w:line="240" w:lineRule="auto"/>
      </w:pPr>
      <w:r w:rsidRPr="00C3126C">
        <w:t>2022 NAPLAN Learning Gain data is not available, as the measure requires NAPLAN results from 2020 as a point of comparison with 2022 results</w:t>
      </w:r>
    </w:p>
    <w:p w:rsidR="00AF4BF6" w:rsidRPr="001D3C2B" w:rsidP="00AF4BF6">
      <w:pPr>
        <w:pStyle w:val="Style10"/>
        <w:spacing w:before="0" w:after="120"/>
      </w:pPr>
      <w:r w:rsidRPr="00AF4BF6">
        <w:t>Considering COVID-19 when interpreting the Performance Summary</w:t>
      </w:r>
    </w:p>
    <w:p w:rsidR="000D1CDD" w:rsidRPr="003F1321"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rsidR="000D1CD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rsidR="000D1CDD" w:rsidP="000D1CDD">
      <w:pPr>
        <w:pStyle w:val="ESBodyText0"/>
        <w:spacing w:line="240" w:lineRule="auto"/>
      </w:pPr>
      <w:r>
        <w:t>Readers should keep this in mind when viewing and interpreting the data presented in the Annual Report</w:t>
      </w:r>
      <w:r>
        <w:t>.</w:t>
      </w:r>
    </w:p>
    <w:p w:rsidR="00737A25" w:rsidP="00AF4BF6">
      <w:pPr>
        <w:pStyle w:val="ESBodyText0"/>
        <w:spacing w:line="240" w:lineRule="auto"/>
      </w:pPr>
      <w:bookmarkEnd w:id="0"/>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w:t>
      </w:r>
      <w:r w:rsidR="000D1CDD">
        <w:t>d</w:t>
      </w:r>
      <w:r>
        <w:t>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5"/>
          <w:footerReference w:type="default" r:id="rId16"/>
          <w:headerReference w:type="first" r:id="rId17"/>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B431AC" w:rsidP="00F748EB">
            <w:pPr>
              <w:pStyle w:val="Style1"/>
              <w:spacing w:before="0"/>
              <w:jc w:val="both"/>
              <w:rPr>
                <w:b/>
                <w:bCs w:val="0"/>
                <w:szCs w:val="24"/>
              </w:rPr>
            </w:pPr>
            <w:r w:rsidRPr="00B431AC">
              <w:rPr>
                <w:b/>
                <w:bCs w:val="0"/>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B431AC" w:rsidP="00994A0F">
            <w:pPr>
              <w:pStyle w:val="Heading3"/>
              <w:spacing w:before="0" w:after="0"/>
              <w:rPr>
                <w:rStyle w:val="DefaultParagraphFont"/>
                <w:b w:val="0"/>
                <w:color w:val="auto"/>
                <w:sz w:val="18"/>
                <w:szCs w:val="18"/>
              </w:rPr>
            </w:pPr>
            <w:r w:rsidRPr="00B431AC">
              <w:rPr>
                <w:rStyle w:val="DefaultParagraphFont"/>
                <w:b w:val="0"/>
                <w:color w:val="auto"/>
                <w:sz w:val="18"/>
              </w:rPr>
              <w:t>Albanvale Primary School strives to create an innovative and exciting learning environment for its school community. Our school is co-educational and located 27km west of the Melbourne CBD. The school caters for students from years P-6 and has an enrolment of 293 students. At Albanvale Primary School we strive to develop our students as lifelong learners. Our mission is to ensure that every student is a curious, critical and creative 21st-century thinker and learner. We challenge and empower students to take risks in their learning and believe all students can achieve success in learning regardless of their background. We endeavour to make a positive difference to the lives of students by providing a stimulating and secure learning environment. We share a vision, that by working collaboratively, we have the greatest impact on learning for all students. This is strongly reflected in our School Strategic Plan in the areas of Literacy and Numeracy. Albanvale Primary School has 26.8 staff: 2 Principal Class staff, 18.6 FTE teachers and 5.2 FTE Education Support Staff. The school is structured into composite year-level Professional Learning Teams and a Specialist Team with a focus on improving student learning. Classroom programs are supported by Enrichment Programs which include Literacy and Numeracy Interventions, Physical Education, STEM, Visual Arts and LOTE-Italian. Additional learning programs include Intensive Swimming Program, Inter-School Sports, Outside School Hours Care Program, Sports Awareness, Whole-school Camp Program and Student Leadership Program. OUr Inwuiry and Knowledge building program focuses on providing students with hands-on experiences in order to develop their creativity and oral language, with an emphasis on those learning English as a Second Language. We have well-established School-Wide Positive Behaviour Systems and provide further support through our Student Welfare Officer to create a positive and engaging school environment that promotes the health, wellbeing, and learning outcomes of all students through improving resilience, coping skills, personal engagement, and a sense of belonging.</w:t>
            </w:r>
          </w:p>
          <w:p w:rsidR="00777DB2" w:rsidRPr="00B431AC"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5A75E6" w:rsidP="00994A0F">
            <w:pPr>
              <w:pStyle w:val="Heading3"/>
              <w:spacing w:before="0" w:after="0"/>
              <w:rPr>
                <w:b w:val="0"/>
                <w:szCs w:val="20"/>
              </w:rPr>
            </w:pPr>
            <w:r w:rsidRPr="00B83867">
              <w:rPr>
                <w:bCs/>
                <w:color w:val="C00000"/>
                <w:szCs w:val="20"/>
              </w:rPr>
              <w:t>Learning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In 2022, the school focused on the priority areas of Excellence in Teaching and Learning and Fostering a Positive Climate for Learning, through the improvement initiatives of Building Practice Excellence and, Empowering Students and Building School Pride. These improvement initiatives enabled us to address our School Strategic Plan goals of improving student learning outcomes in literacy and numeracy P-6, and increasing student engagement through the activation of student voice that empowers students and enhances learning outcomes. Professional Learning Teams met regularly and used an action research framework to monitor student learning data and to share research-based instructional strategies for improvement. In addition, staff worked with a numeracy consultant to build their content knowledge in Number and Algebra, and the capacity to differentiate learning for students at their point of need. Current data sets indicate that student learning outcomes improved in our priority areas of Reading and Numeracy from the previous year. The has identified the need to continue to focus on Excellence in Teaching and Learning in Writing as a priority and began working with an external consultant to develop our shared Writing Framework for Excellence. For continuous improvement, our focus moving forward will remain on strengthening teacher capacity through a whole-school approach to curriculum planning, instruction,and assessment, in order to ensure consistency of learning and teaching practices across the school. We will continue to build the knowledge and skills of staff in high-impact teaching practices as well as collecting, analysing, and using data to understand every student’s needs and their next level of learning. The school will also ensure that learning is aligned with the Victorian Curriculum. This work will be achieved in the context of professional learning teams and shared leadership across the school.</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szCs w:val="20"/>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Our results in the Student Attitudes to School Survey for students in Years 4 to 6 showed the ‘Sense of Connectedness to School’ to be significantly above that of other schools, with student perceptions of School Safety similarly high. The school has identified that the most improved factor was 'Not Experiencing Bullying', which closely correlated to improvement in the Management of Bullying. Guided by our implementation of School Wide Positive Behaviour Systems, a number of student wellbeing initiatives were undertaken to improve the community's understanding and management of bullying, as well as building positive relationships. This work culminated with the school receiving silver accreditation under the School-Wide Positive Behaviour Framework, and are now focussing on gold-standard accreditation.. Albanvale Primary School prides itself on its commitment to building a safe, strong, and welcoming culture through the teaching and implementation of our school values of Respect, Excellence, Responsibility, and Collaboration. Student Wellbeing will continue to be a core focus and enhanced in order to ensure that a safe and orderly environment conducive to learning is maintained. We will continue to undertake a periodical assessment of student engagement and wellbeing through the implementation of whole-school student surveys in addition to the Attitudes to School Survey. Additional support will be sought from our school-based Student Wellbeing Officer, DoE SSSO staff, and outside agencies for students deemed at risk. We will continue to embded our focus on student wellbeing programs such as Restorative Practices Framework, School-wide Positive Behaviours initiative, Respectful Relationships initiative, whole-school Transition Program, House Teams, Junior School Council, Values Education and student leadership opportunities.</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School absence data was similar to that of other schools in the State. Despite this, our 4-year average is significantly lower than similar schools and the state. Common reasons for non-attendance were illness and isolation requirements in accordance with government guidelines. The school implemented a number of strategies to ensure regular attendance at school including the appointment of an Attendance Officer to closely monitor attendance, classroom data collection, class and individual awards at assembly, follow-up phone calls to parents, and regular notices in the school newsletter. These supports were extended to identify the most vulnerable students to receive tier 3 specific supports in order for them to fully engage in learning. We will continue to focus on improving student attendance, with the continued implementation of the DET Every Day Counts initiative. The school intends to continue to educate the school community on the importance of students’ regular attendance at school. Close monitoring of attendance data and follow-up correspondence with parents will continue, and a positive approach to encourage attendance with students through attendance awards. The continued employment of a Student Wellbeing Officer and an Attendance Officer will ensure that students and their families are supported in working towards the achievement of our joint goal of having the students at school consistently and on time. The school will focus on creating a positive climate for learning in order to increase student engagement through the activation of student voice and agency to empower students and enhance learning outcomes. A whole school systematic approach will be used to empower student voice and agency in their learning through the use of learning intentions and success criteria, differentiated learning, and the setting of challenging learning goals. In addition, the school will explicitly teach the Capabilities within the Victorian Curriculum to cultivate higher-order thinking and use digital technologies as an integral component of learning and teaching.</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Pr>
                <w:rFonts w:cs="Times New Roman"/>
                <w:b/>
              </w:rPr>
              <w:t>Financial performance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school received equity funding totaling $789,644 for the purpose of improving student learning outcomes. School-based coaches and consultants were employed to work with teachers to improve instructional practice using these funds. In addition, the school spent $27,000 of equity funding on upgrading digital devices and ICT infrastructure. Additional equity expenditure included the purchase of numeracy resources, Levelled Literacy Intervention resources, ICT software, and updating library books and teacher reference materials. The school has changed the staffing profile, thus enabling monies saved in salaries to be carried forward and a net operating surplus of $810,239. The school has committed to expending the surplus funds for continued maintenance and beautification of the school, expanding the staffing profile to amplify our intervention work through RTI, as well as the purchase of digital technologies and other resources to support teaching and learning. Other expenditure in the area of buildings and grounds included: emergency plumbing work for the school's fire safety system, safety works to upgrade the internal ceiling in the Enrichment Building, and upgrade works to the newly established Centre of Excellence, ICT Server Room, and Breakfast Club Kitchen.</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626629" w:rsidP="00C71E7A">
            <w:pPr>
              <w:pStyle w:val="Heading3"/>
              <w:spacing w:before="0" w:after="0"/>
              <w:rPr>
                <w:b w:val="0"/>
                <w:sz w:val="18"/>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"http://www.albanvaleps.vic.edu.au" </w:instrText>
            </w:r>
            <w:r>
              <w:rPr>
                <w:rFonts w:eastAsia="Arial"/>
                <w:b/>
                <w:bCs/>
                <w:sz w:val="22"/>
                <w:szCs w:val="22"/>
              </w:rPr>
              <w:fldChar w:fldCharType="separate"/>
            </w:r>
            <w:r>
              <w:rPr>
                <w:rFonts w:eastAsia="Arial"/>
                <w:b/>
                <w:bCs/>
                <w:color w:val="0000EE"/>
                <w:sz w:val="22"/>
                <w:szCs w:val="22"/>
                <w:u w:val="single"/>
              </w:rPr>
              <w:t>http://www.albanvaleps.vic.edu.au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95453E">
          <w:headerReference w:type="default" r:id="rId18"/>
          <w:footerReference w:type="default" r:id="rId19"/>
          <w:headerReference w:type="first" r:id="rId20"/>
          <w:pgSz w:w="11906" w:h="16838" w:code="9"/>
          <w:pgMar w:top="709" w:right="1134" w:bottom="1701" w:left="1134" w:header="0" w:footer="709" w:gutter="0"/>
          <w:cols w:space="397"/>
          <w:docGrid w:linePitch="360"/>
        </w:sectPr>
      </w:pPr>
    </w:p>
    <w:p w:rsidR="009E6D61" w:rsidP="00B637FF">
      <w:pPr>
        <w:pStyle w:val="Title"/>
      </w:pPr>
      <w:r>
        <w:t>Performance Summary</w:t>
      </w:r>
    </w:p>
    <w:p w:rsidR="008B3EE8" w:rsidRPr="008B3EE8"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rsidR="008B3EE8" w:rsidRPr="008B3EE8"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rsidR="008B3EE8" w:rsidP="008B3EE8">
      <w:pPr>
        <w:pStyle w:val="ESBodyText0"/>
      </w:pPr>
      <w:r w:rsidRPr="008B3EE8">
        <w:t>Refer to the ‘How to read the Annual Report’ 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A total of  276 students were enrolled at this school in 2022,  139 female and  137 male.</w:t>
      </w:r>
    </w:p>
    <w:p w:rsidR="009E6D61">
      <w:pPr>
        <w:pStyle w:val="ESBodyText0"/>
      </w:pPr>
      <w:r>
        <w:t>75</w:t>
      </w:r>
      <w:r w:rsidR="007567CF">
        <w:t xml:space="preserve"> percent of students had English as an additional language and </w:t>
      </w:r>
      <w:r>
        <w:t>3</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High</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94.5%</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79.9%</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24152264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89.9%</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73.4%</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LEARNING</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p w:rsidR="00E346A0" w:rsidP="00E346A0">
            <w:pPr>
              <w:pStyle w:val="ESBodyText0"/>
            </w:pPr>
            <w:bookmarkEnd w:id="1"/>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86.5%</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75.5%</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87.0%</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90.2%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71.3%</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85.9%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LEARNING</w:t>
      </w:r>
      <w:r>
        <w:t xml:space="preserve">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w:t>
      </w:r>
      <w:r w:rsidR="00024458">
        <w:t>9</w:t>
      </w:r>
      <w:r>
        <w:t>, 20</w:t>
      </w:r>
      <w:r w:rsidR="00024458">
        <w:t>21</w:t>
      </w:r>
      <w:r>
        <w:t xml:space="preserve"> and 202</w:t>
      </w:r>
      <w:r w:rsidR="00024458">
        <w:t>2</w:t>
      </w:r>
      <w:r>
        <w:t xml:space="preserve">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65.6%</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83.3%</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61.2%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61.8%</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76.6%</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69.4%</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66.7%</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54.9%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53.1%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69.5%</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56.3%</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61.5%</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42.7%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46.7%</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66.6%</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51.4%</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59.1%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37.6%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41.1%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58.8%</w:t>
            </w:r>
          </w:p>
        </w:tc>
      </w:tr>
    </w:tbl>
    <w:p w:rsidR="00693B34" w:rsidP="00693B34">
      <w:pPr>
        <w:pStyle w:val="ESHeading30"/>
        <w:spacing w:before="0"/>
      </w:pPr>
    </w:p>
    <w:p w:rsidR="00693B34" w:rsidP="00693B34">
      <w:pPr>
        <w:spacing w:after="0" w:line="240" w:lineRule="auto"/>
        <w:rPr>
          <w:b/>
          <w:color w:val="000000" w:themeColor="text1"/>
        </w:rPr>
      </w:pPr>
      <w:r>
        <w:br w:type="page"/>
      </w:r>
    </w:p>
    <w:p w:rsidR="00024458" w:rsidP="00693B34">
      <w:pPr>
        <w:pStyle w:val="ESBodyText0"/>
        <w:rPr>
          <w:rFonts w:eastAsia="Arial"/>
          <w:color w:val="000000"/>
        </w:rPr>
      </w:pPr>
    </w:p>
    <w:p w:rsidR="00024458" w:rsidP="00024458">
      <w:pPr>
        <w:pStyle w:val="Style10"/>
      </w:pPr>
      <w:r>
        <w:t>WELLBEING</w:t>
      </w:r>
    </w:p>
    <w:p w:rsidR="00024458" w:rsidP="00024458">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024458" w:rsidP="00024458">
      <w:pPr>
        <w:pStyle w:val="ESHeading30"/>
      </w:pPr>
      <w:r>
        <w:t>Student Attitudes to School – Sense of Connectedness</w:t>
      </w:r>
    </w:p>
    <w:p w:rsidR="00024458" w:rsidP="00024458">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rsidR="00024458" w:rsidP="00024458">
      <w:pPr>
        <w:pStyle w:val="ESBodyText0"/>
        <w:spacing w:before="120" w:after="240"/>
      </w:pPr>
      <w:r>
        <w:rPr>
          <w:noProof/>
        </w:rPr>
        <w:drawing>
          <wp:anchor distT="0" distB="0" distL="114300" distR="114300" simplePos="0" relativeHeight="251671552"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8316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024458"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024458" w:rsidRPr="00B20B3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P="00831659">
            <w:pPr>
              <w:pStyle w:val="ESBodyText0"/>
              <w:spacing w:line="240" w:lineRule="auto"/>
              <w:jc w:val="center"/>
            </w:pPr>
            <w:r>
              <w:t>Latest year (202</w:t>
            </w:r>
            <w:r w:rsidR="00AE6F95">
              <w:t>2</w:t>
            </w:r>
            <w:r>
              <w:t>)</w:t>
            </w:r>
          </w:p>
        </w:tc>
        <w:tc>
          <w:tcPr>
            <w:tcW w:w="1060" w:type="dxa"/>
            <w:vAlign w:val="bottom"/>
          </w:tcPr>
          <w:p w:rsidR="00024458" w:rsidP="00831659">
            <w:pPr>
              <w:pStyle w:val="ESBodyText0"/>
              <w:spacing w:line="240" w:lineRule="auto"/>
              <w:jc w:val="center"/>
            </w:pPr>
            <w:r>
              <w:t>4-year average</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97.9%</w:t>
            </w:r>
          </w:p>
        </w:tc>
        <w:tc>
          <w:tcPr>
            <w:tcW w:w="1060"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95.7%</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81.4%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82.3%</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79.5%</w:t>
            </w:r>
          </w:p>
        </w:tc>
      </w:tr>
    </w:tbl>
    <w:p w:rsidR="00024458" w:rsidP="00024458">
      <w:pPr>
        <w:pStyle w:val="ESBodyText0"/>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024458" w:rsidRPr="007A7D8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rsidR="00024458" w:rsidP="00024458">
      <w:pPr>
        <w:pStyle w:val="ESBodyText0"/>
      </w:pPr>
    </w:p>
    <w:p w:rsidR="00024458" w:rsidP="00024458">
      <w:pPr>
        <w:pStyle w:val="ESBodyText0"/>
      </w:pPr>
    </w:p>
    <w:p w:rsidR="00024458" w:rsidP="00024458">
      <w:pPr>
        <w:pStyle w:val="ESHeading30"/>
        <w:spacing w:before="120"/>
      </w:pPr>
    </w:p>
    <w:p w:rsidR="00024458" w:rsidP="00024458">
      <w:pPr>
        <w:pStyle w:val="ESHeading30"/>
        <w:spacing w:before="480"/>
      </w:pPr>
      <w:r>
        <w:t>Student Attitudes to School – Management of Bullying</w:t>
      </w:r>
    </w:p>
    <w:p w:rsidR="00024458" w:rsidP="00024458">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rsidR="00024458" w:rsidP="00024458">
      <w:pPr>
        <w:pStyle w:val="ESBodyText0"/>
        <w:spacing w:before="120" w:after="240"/>
      </w:pPr>
      <w:r>
        <w:rPr>
          <w:noProof/>
        </w:rPr>
        <w:drawing>
          <wp:anchor distT="0" distB="0" distL="114300" distR="114300" simplePos="0" relativeHeight="251670528"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8316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024458"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024458" w:rsidRPr="00B20B3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P="00831659">
            <w:pPr>
              <w:pStyle w:val="ESBodyText0"/>
              <w:spacing w:line="240" w:lineRule="auto"/>
              <w:jc w:val="center"/>
            </w:pPr>
            <w:r>
              <w:t>Latest year (202</w:t>
            </w:r>
            <w:r w:rsidR="00AE6F95">
              <w:t>2</w:t>
            </w:r>
            <w:r>
              <w:t>)</w:t>
            </w:r>
          </w:p>
        </w:tc>
        <w:tc>
          <w:tcPr>
            <w:tcW w:w="1060" w:type="dxa"/>
            <w:vAlign w:val="bottom"/>
          </w:tcPr>
          <w:p w:rsidR="00024458" w:rsidP="00831659">
            <w:pPr>
              <w:pStyle w:val="ESBodyText0"/>
              <w:spacing w:line="240" w:lineRule="auto"/>
              <w:jc w:val="center"/>
            </w:pPr>
            <w:r>
              <w:t>4-year average</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93.7%</w:t>
            </w:r>
          </w:p>
        </w:tc>
        <w:tc>
          <w:tcPr>
            <w:tcW w:w="1060"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92.3%</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78.6%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80.2%</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78.3%</w:t>
            </w:r>
          </w:p>
        </w:tc>
      </w:tr>
    </w:tbl>
    <w:p w:rsidR="00024458" w:rsidP="00024458">
      <w:pPr>
        <w:pStyle w:val="ESBodyText0"/>
      </w:pP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024458" w:rsidRPr="007A7D8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rsidR="00944B57" w:rsidP="00693B34">
      <w:pPr>
        <w:pStyle w:val="ESBodyText0"/>
        <w:spacing w:after="0" w:line="240" w:lineRule="auto"/>
        <w:rPr>
          <w:rFonts w:eastAsia="Arial"/>
          <w:color w:val="000000"/>
        </w:rPr>
      </w:pPr>
    </w:p>
    <w:p w:rsidR="00693B34" w:rsidP="00693B34">
      <w:pPr>
        <w:spacing w:after="0" w:line="240" w:lineRule="auto"/>
      </w:pPr>
    </w:p>
    <w:p w:rsidR="00693B34" w:rsidP="00693B34">
      <w:pPr>
        <w:spacing w:after="0" w:line="240" w:lineRule="auto"/>
      </w:pPr>
    </w:p>
    <w:p w:rsidR="005B6BD9">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p>
    <w:p w:rsidR="002E45F9">
      <w:pPr>
        <w:pStyle w:val="ESBodyText0"/>
      </w:pPr>
      <w:r>
        <w:rPr>
          <w:noProof/>
        </w:rPr>
        <w:drawing>
          <wp:anchor distT="0" distB="0" distL="114300" distR="114300" simplePos="0" relativeHeight="25166540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AE6F95">
              <w:t>2</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25.8</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16.2</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24.8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20.0</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17.0</w:t>
            </w:r>
          </w:p>
        </w:tc>
      </w:tr>
    </w:tbl>
    <w:p w:rsidR="002E45F9">
      <w:pPr>
        <w:pStyle w:val="ESBodyText0"/>
      </w:pPr>
    </w:p>
    <w:p w:rsidR="002E45F9">
      <w:pPr>
        <w:pStyle w:val="ESBodyText0"/>
      </w:pPr>
    </w:p>
    <w:p w:rsidR="002E45F9">
      <w:pPr>
        <w:pStyle w:val="ESBodyText0"/>
      </w:pPr>
    </w:p>
    <w:p w:rsidR="00116F0E">
      <w:pPr>
        <w:pStyle w:val="ESBodyText0"/>
        <w:rPr>
          <w:b/>
          <w:bCs/>
        </w:rPr>
      </w:pPr>
      <w:r>
        <w:t xml:space="preserve">  </w:t>
      </w:r>
      <w:r w:rsidRPr="00116F0E">
        <w:rPr>
          <w:b/>
          <w:bCs/>
        </w:rPr>
        <w:t>Attendance Rate (latest year)</w:t>
      </w:r>
    </w:p>
    <w:p w:rsidR="00116F0E" w:rsidRPr="00116F0E">
      <w:pPr>
        <w:pStyle w:val="ESBodyText0"/>
      </w:pPr>
      <w:r w:rsidRPr="00116F0E">
        <w:t xml:space="preserve">  Attendance rate refers to the average proportion of formal school days students in each year level attended.</w:t>
      </w: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AE6F95">
              <w:t>2</w:t>
            </w:r>
            <w:r>
              <w:t>):</w:t>
            </w:r>
          </w:p>
        </w:tc>
        <w:tc>
          <w:tcPr>
            <w:tcW w:w="1093" w:type="dxa"/>
            <w:shd w:val="clear" w:color="auto" w:fill="FFC000"/>
            <w:tcMar>
              <w:top w:w="57" w:type="dxa"/>
            </w:tcMar>
            <w:vAlign w:val="center"/>
          </w:tcPr>
          <w:p w:rsidR="006F4FB2" w:rsidP="006F4FB2">
            <w:pPr>
              <w:pStyle w:val="ESBodyText0"/>
              <w:jc w:val="center"/>
            </w:pPr>
            <w:r>
              <w:t>86%</w:t>
            </w:r>
          </w:p>
        </w:tc>
        <w:tc>
          <w:tcPr>
            <w:tcW w:w="1094" w:type="dxa"/>
            <w:shd w:val="clear" w:color="auto" w:fill="FFC000"/>
            <w:tcMar>
              <w:top w:w="57" w:type="dxa"/>
            </w:tcMar>
            <w:vAlign w:val="center"/>
          </w:tcPr>
          <w:p w:rsidR="006F4FB2" w:rsidP="006F4FB2">
            <w:pPr>
              <w:pStyle w:val="ESBodyText0"/>
              <w:jc w:val="center"/>
            </w:pPr>
            <w:r>
              <w:t>87%</w:t>
            </w:r>
          </w:p>
        </w:tc>
        <w:tc>
          <w:tcPr>
            <w:tcW w:w="1093" w:type="dxa"/>
            <w:shd w:val="clear" w:color="auto" w:fill="FFC000"/>
            <w:tcMar>
              <w:top w:w="57" w:type="dxa"/>
            </w:tcMar>
            <w:vAlign w:val="center"/>
          </w:tcPr>
          <w:p w:rsidR="006F4FB2" w:rsidP="006F4FB2">
            <w:pPr>
              <w:pStyle w:val="ESBodyText0"/>
              <w:jc w:val="center"/>
            </w:pPr>
            <w:r>
              <w:t>89%</w:t>
            </w:r>
          </w:p>
        </w:tc>
        <w:tc>
          <w:tcPr>
            <w:tcW w:w="1094" w:type="dxa"/>
            <w:shd w:val="clear" w:color="auto" w:fill="FFC000"/>
            <w:tcMar>
              <w:top w:w="57" w:type="dxa"/>
            </w:tcMar>
            <w:vAlign w:val="center"/>
          </w:tcPr>
          <w:p w:rsidR="006F4FB2" w:rsidP="006F4FB2">
            <w:pPr>
              <w:pStyle w:val="ESBodyText0"/>
              <w:jc w:val="center"/>
            </w:pPr>
            <w:r>
              <w:t>84%</w:t>
            </w:r>
          </w:p>
        </w:tc>
        <w:tc>
          <w:tcPr>
            <w:tcW w:w="1093" w:type="dxa"/>
            <w:shd w:val="clear" w:color="auto" w:fill="FFC000"/>
            <w:tcMar>
              <w:top w:w="57" w:type="dxa"/>
            </w:tcMar>
            <w:vAlign w:val="center"/>
          </w:tcPr>
          <w:p w:rsidR="006F4FB2" w:rsidP="006F4FB2">
            <w:pPr>
              <w:pStyle w:val="ESBodyText0"/>
              <w:jc w:val="center"/>
            </w:pPr>
            <w:r>
              <w:t>90%</w:t>
            </w:r>
          </w:p>
        </w:tc>
        <w:tc>
          <w:tcPr>
            <w:tcW w:w="1094" w:type="dxa"/>
            <w:shd w:val="clear" w:color="auto" w:fill="FFC000"/>
            <w:tcMar>
              <w:top w:w="57" w:type="dxa"/>
            </w:tcMar>
            <w:vAlign w:val="center"/>
          </w:tcPr>
          <w:p w:rsidR="006F4FB2" w:rsidP="006F4FB2">
            <w:pPr>
              <w:pStyle w:val="ESBodyText0"/>
              <w:jc w:val="center"/>
            </w:pPr>
            <w:r>
              <w:t>85%</w:t>
            </w:r>
          </w:p>
        </w:tc>
        <w:tc>
          <w:tcPr>
            <w:tcW w:w="1094" w:type="dxa"/>
            <w:shd w:val="clear" w:color="auto" w:fill="FFC000"/>
            <w:tcMar>
              <w:top w:w="57" w:type="dxa"/>
            </w:tcMar>
            <w:vAlign w:val="center"/>
          </w:tcPr>
          <w:p w:rsidR="006F4FB2" w:rsidP="006F4FB2">
            <w:pPr>
              <w:pStyle w:val="ESBodyText0"/>
              <w:jc w:val="center"/>
            </w:pPr>
            <w:r>
              <w:t>89%</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RPr="00775144" w:rsidP="00775144">
      <w:pPr>
        <w:pStyle w:val="Style10"/>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$3,494,871</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$875,510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$9,045</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$826</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$18,903</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$65,162</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$16,784</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$4,481,103</w:t>
            </w:r>
          </w:p>
        </w:tc>
      </w:tr>
    </w:tbl>
    <w:p w:rsidR="009E6D61" w:rsidP="0099239B">
      <w:pPr>
        <w:pStyle w:val="ESBodyText0"/>
        <w:spacing w:before="120" w:line="240" w:lineRule="auto"/>
      </w:pPr>
      <w:bookmarkEnd w:id="2"/>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$789,644</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$789,644</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$3,100,476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$0</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$54,943</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$5,055</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$53,331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$22,584</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$36,534</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$67,436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$121,775</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$227</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$142,004</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$16,552</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$33,073</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$3,653,990</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$810,329</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$119,101</w:t>
            </w:r>
          </w:p>
        </w:tc>
      </w:tr>
    </w:tbl>
    <w:p w:rsidR="000C0E44" w:rsidP="000C0E44">
      <w:pPr>
        <w:pStyle w:val="ESBodyText0"/>
        <w:numPr>
          <w:ilvl w:val="0"/>
          <w:numId w:val="31"/>
        </w:numPr>
      </w:pPr>
      <w:r>
        <w:t>The equity funding reported above is a subset of the overall revenue reported by the school.</w:t>
      </w:r>
    </w:p>
    <w:p w:rsidR="000C0E44" w:rsidP="000C0E44">
      <w:pPr>
        <w:pStyle w:val="ESBodyText0"/>
        <w:numPr>
          <w:ilvl w:val="0"/>
          <w:numId w:val="31"/>
        </w:numPr>
      </w:pPr>
      <w:r>
        <w:t>Student Resource Package Expenditure figures are as of 25 Feb 2023 and are subject to change during the reconciliation process.</w:t>
      </w:r>
    </w:p>
    <w:p w:rsidR="000C0E44" w:rsidP="000C0E44">
      <w:pPr>
        <w:pStyle w:val="ESBodyText0"/>
        <w:numPr>
          <w:ilvl w:val="0"/>
          <w:numId w:val="31"/>
        </w:numPr>
      </w:pPr>
      <w:r>
        <w:t>Miscellaneous Expenses include bank charges, administration expenses, insurance and taxation charges.</w:t>
      </w:r>
    </w:p>
    <w:p w:rsidR="000C0E44" w:rsidP="00274E29">
      <w:pPr>
        <w:pStyle w:val="ESBodyText0"/>
        <w:numPr>
          <w:ilvl w:val="0"/>
          <w:numId w:val="31"/>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$1,147,512</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$15,068</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$1,162,580</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$74,946</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$21,127</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$115,650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$400,000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$238,217</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$849,940</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2"/>
      <w:footerReference w:type="default" r:id="rId33"/>
      <w:headerReference w:type="first" r:id="rId34"/>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8120746"/>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1137831"/>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C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sidR="00A66941">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Albanvale Primary School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574060" cy="474979"/>
          <wp:effectExtent l="0" t="0" r="7620" b="1905"/>
          <wp:docPr id="2001527431"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 xml:space="preserve">Albanvale Primary School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574060" cy="474979"/>
          <wp:effectExtent l="0" t="0" r="7620" b="1905"/>
          <wp:docPr id="70225170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 xml:space="preserve">Albanvale Primary School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97F4F3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FCB6DE4"/>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chart" Target="charts/chart1.xml" /><Relationship Id="rId22" Type="http://schemas.openxmlformats.org/officeDocument/2006/relationships/chart" Target="charts/chart2.xml" /><Relationship Id="rId23" Type="http://schemas.openxmlformats.org/officeDocument/2006/relationships/chart" Target="charts/chart3.xml" /><Relationship Id="rId24" Type="http://schemas.openxmlformats.org/officeDocument/2006/relationships/chart" Target="charts/chart4.xml" /><Relationship Id="rId25" Type="http://schemas.openxmlformats.org/officeDocument/2006/relationships/chart" Target="charts/chart5.xml" /><Relationship Id="rId26" Type="http://schemas.openxmlformats.org/officeDocument/2006/relationships/chart" Target="charts/chart6.xml" /><Relationship Id="rId27" Type="http://schemas.openxmlformats.org/officeDocument/2006/relationships/chart" Target="charts/chart7.xml" /><Relationship Id="rId28" Type="http://schemas.openxmlformats.org/officeDocument/2006/relationships/chart" Target="charts/chart8.xml" /><Relationship Id="rId29" Type="http://schemas.openxmlformats.org/officeDocument/2006/relationships/chart" Target="charts/chart9.xml" /><Relationship Id="rId3" Type="http://schemas.openxmlformats.org/officeDocument/2006/relationships/fontTable" Target="fontTable.xml" /><Relationship Id="rId30" Type="http://schemas.openxmlformats.org/officeDocument/2006/relationships/chart" Target="charts/chart10.xml" /><Relationship Id="rId31" Type="http://schemas.openxmlformats.org/officeDocument/2006/relationships/chart" Target="charts/chart11.xml" /><Relationship Id="rId32" Type="http://schemas.openxmlformats.org/officeDocument/2006/relationships/header" Target="header8.xml" /><Relationship Id="rId33" Type="http://schemas.openxmlformats.org/officeDocument/2006/relationships/footer" Target="footer5.xml" /><Relationship Id="rId34" Type="http://schemas.openxmlformats.org/officeDocument/2006/relationships/header" Target="header9.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8.xml.rels>&#65279;<?xml version="1.0" encoding="utf-8" standalone="yes"?><Relationships xmlns="http://schemas.openxmlformats.org/package/2006/relationships"><Relationship Id="rId1" Type="http://schemas.openxmlformats.org/officeDocument/2006/relationships/image" Target="media/image4.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0.945</c:v>
                </c:pt>
                <c:pt idx="1">
                  <c:v>0.799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0.936781</c:v>
                </c:pt>
                <c:pt idx="1">
                  <c:v>0.785535</c:v>
                </c:pt>
                <c:pt idx="2">
                  <c:v>0.757711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25.846301</c:v>
                </c:pt>
                <c:pt idx="1">
                  <c:v>24.808364</c:v>
                </c:pt>
                <c:pt idx="2">
                  <c:v>23.257458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0.899</c:v>
                </c:pt>
                <c:pt idx="1">
                  <c:v>0.734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0.865</c:v>
                </c:pt>
                <c:pt idx="1">
                  <c:v>0.755</c:v>
                </c:pt>
                <c:pt idx="2">
                  <c:v>0.87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0.902</c:v>
                </c:pt>
                <c:pt idx="1">
                  <c:v>0.713</c:v>
                </c:pt>
                <c:pt idx="2">
                  <c:v>0.859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0.656</c:v>
                </c:pt>
                <c:pt idx="1">
                  <c:v>0.612</c:v>
                </c:pt>
                <c:pt idx="2">
                  <c:v>0.766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0.694</c:v>
                </c:pt>
                <c:pt idx="1">
                  <c:v>0.549</c:v>
                </c:pt>
                <c:pt idx="2">
                  <c:v>0.702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0.563</c:v>
                </c:pt>
                <c:pt idx="1">
                  <c:v>0.427</c:v>
                </c:pt>
                <c:pt idx="2">
                  <c:v>0.64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0.514</c:v>
                </c:pt>
                <c:pt idx="1">
                  <c:v>0.376</c:v>
                </c:pt>
                <c:pt idx="2">
                  <c:v>0.542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0.97931</c:v>
                </c:pt>
                <c:pt idx="1">
                  <c:v>0.813939</c:v>
                </c:pt>
                <c:pt idx="2">
                  <c:v>0.780882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11</cp:revision>
  <dcterms:created xsi:type="dcterms:W3CDTF">2022-02-23T06:44:00Z</dcterms:created>
  <dcterms:modified xsi:type="dcterms:W3CDTF">2023-02-24T03:23:00Z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